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before="0" w:after="60"/>
      </w:pPr>
      <w:r>
        <w:rPr>
          <w:rFonts w:ascii="Arial" w:hAnsi="Arial"/>
          <w:b/>
          <w:color w:val="3B28F6"/>
          <w:sz w:val="52"/>
        </w:rPr>
        <w:t>PT. ROYAL TRANS INDONESIA</w:t>
      </w:r>
    </w:p>
    <w:p>
      <w:pPr>
        <w:jc w:val="center"/>
        <w:spacing w:before="0" w:after="30" w:line="240" w:lineRule="auto"/>
      </w:pPr>
      <w:r>
        <w:rPr>
          <w:rFonts w:ascii="Times New Roman" w:hAnsi="Times New Roman"/>
          <w:sz w:val="18"/>
        </w:rPr>
        <w:t>Ciputra International Tokopedia Tower Ruang SBB Lantai 16 Unit 38.</w:t>
      </w:r>
    </w:p>
    <w:p>
      <w:pPr>
        <w:jc w:val="center"/>
        <w:spacing w:before="0" w:after="30" w:line="240" w:lineRule="auto"/>
      </w:pPr>
      <w:r>
        <w:rPr>
          <w:rFonts w:ascii="Times New Roman" w:hAnsi="Times New Roman"/>
          <w:sz w:val="18"/>
        </w:rPr>
        <w:t>Jl. Lingkar Luar Barat No. 101, Rawa Buaya, Cengkareng, Jakarta Barat 11740</w:t>
      </w:r>
    </w:p>
    <w:p>
      <w:pPr>
        <w:jc w:val="center"/>
        <w:spacing w:before="0" w:after="30" w:line="240" w:lineRule="auto"/>
      </w:pPr>
      <w:r>
        <w:rPr>
          <w:rFonts w:ascii="Times New Roman" w:hAnsi="Times New Roman"/>
          <w:sz w:val="18"/>
        </w:rPr>
        <w:t>Email: </w:t>
      </w:r>
      <w:r>
        <w:rPr>
          <w:rFonts w:ascii="Times New Roman" w:hAnsi="Times New Roman"/>
          <w:color w:val="0000FF"/>
          <w:u w:val="single"/>
          <w:sz w:val="18"/>
        </w:rPr>
        <w:t>info@royal-trans.co.id</w:t>
      </w:r>
      <w:r>
        <w:rPr>
          <w:rFonts w:ascii="Times New Roman" w:hAnsi="Times New Roman"/>
          <w:sz w:val="18"/>
        </w:rPr>
        <w:t> Web: </w:t>
      </w:r>
      <w:r>
        <w:rPr>
          <w:rFonts w:ascii="Times New Roman" w:hAnsi="Times New Roman"/>
          <w:color w:val="0000FF"/>
          <w:u w:val="single"/>
          <w:sz w:val="18"/>
        </w:rPr>
        <w:t>www.royal-trans.co.id</w:t>
      </w:r>
    </w:p>
    <w:p>
      <w:pPr>
        <w:jc w:val="center"/>
        <w:spacing w:before="0" w:after="80" w:line="240" w:lineRule="auto"/>
      </w:pPr>
      <w:r>
        <w:rPr>
          <w:rFonts w:ascii="Times New Roman" w:hAnsi="Times New Roman"/>
          <w:sz w:val="18"/>
        </w:rPr>
        <w:t>Telp. / WA : 0823-3388-8383</w:t>
      </w:r>
    </w:p>
    <w:p>
      <w:pPr>
        <w:pBdr>
          <w:bottom w:val="double" w:sz="18" w:space="1" w:color="000000"/>
        </w:pBdr>
        <w:spacing w:before="0" w:after="120"/>
      </w:pPr>
    </w:p>
    <w:tbl>
      <w:tblPr>
        <w:tblW w:w="10200" w:type="dxa"/>
        <w:tblBorders>
          <w:top w:val="none"/>
          <w:left w:val="none"/>
          <w:bottom w:val="none"/>
          <w:right w:val="none"/>
          <w:insideH w:val="none"/>
          <w:insideV w:val="none"/>
        </w:tblBorders>
      </w:tblPr>
      <w:tr>
        <w:tc>
          <w:tcPr>
            <w:tcW w:w="6000" w:type="dxa"/>
          </w:tcPr>
          <w:p>
            <w:pPr>
              <w:spacing w:after="30"/>
            </w:pPr>
            <w:r>
              <w:rPr>
                <w:b/>
                <w:sz w:val="17"/>
              </w:rPr>
              <w:t>No.          : 12/RTI/INV/IX/2026</w:t>
            </w:r>
          </w:p>
          <w:p>
            <w:pPr>
              <w:spacing w:after="60"/>
            </w:pPr>
            <w:r>
              <w:rPr>
                <w:b/>
                <w:sz w:val="17"/>
              </w:rPr>
              <w:t>Perihal     : Invoice</w:t>
            </w:r>
          </w:p>
        </w:tc>
        <w:tc>
          <w:tcPr>
            <w:tcW w:w="4200" w:type="dxa"/>
          </w:tcPr>
          <w:p>
            <w:pPr>
              <w:jc w:val="right"/>
              <w:spacing w:after="60"/>
            </w:pPr>
            <w:r>
              <w:rPr>
                <w:b/>
                <w:sz w:val="17"/>
              </w:rPr>
              <w:t>Jakarta, 06/09/2026</w:t>
            </w:r>
          </w:p>
        </w:tc>
      </w:tr>
    </w:tbl>
    <w:p>
      <w:pPr>
        <w:spacing w:before="60" w:after="20"/>
      </w:pPr>
      <w:r>
        <w:rPr>
          <w:sz w:val="17"/>
        </w:rPr>
        <w:t>Kepada Yth,</w:t>
      </w:r>
    </w:p>
    <w:p>
      <w:pPr>
        <w:spacing w:after="20"/>
      </w:pPr>
      <w:r>
        <w:rPr>
          <w:b/>
          <w:sz w:val="17"/>
        </w:rPr>
        <w:t>PT Telekomunikasi Selular</w:t>
      </w:r>
    </w:p>
    <w:p>
      <w:pPr>
        <w:spacing w:after="20"/>
      </w:pPr>
      <w:r>
        <w:rPr>
          <w:sz w:val="17"/>
        </w:rPr>
        <w:t>Up. : Bpk. Fajar Ramadhan</w:t>
      </w:r>
    </w:p>
    <w:p>
      <w:pPr>
        <w:spacing w:after="20"/>
      </w:pPr>
      <w:r>
        <w:rPr>
          <w:sz w:val="17"/>
        </w:rPr>
        <w:t>Tlp. : 0812-3344-5500</w:t>
      </w:r>
    </w:p>
    <w:p>
      <w:pPr>
        <w:spacing w:after="80"/>
      </w:pPr>
      <w:r>
        <w:rPr>
          <w:sz w:val="17"/>
        </w:rPr>
        <w:t>Di tempat</w:t>
      </w:r>
    </w:p>
    <w:p>
      <w:pPr>
        <w:spacing w:after="20"/>
      </w:pPr>
      <w:r>
        <w:rPr>
          <w:sz w:val="17"/>
        </w:rPr>
        <w:t>Dengan hormat,</w:t>
      </w:r>
    </w:p>
    <w:p>
      <w:pPr>
        <w:spacing w:after="80"/>
      </w:pPr>
      <w:r>
        <w:rPr>
          <w:sz w:val="17"/>
        </w:rPr>
        <w:t>Bersama ini kami sampaikan invoice untuk sewa kendaraan:</w:t>
      </w:r>
    </w:p>
    <w:tbl>
      <w:tblPr>
        <w:tblW w:w="10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
        <w:tc>
          <w:tcPr>
            <w:tcW w:w="2300" w:type="dxa"/>
            <w:shd w:val="clear" w:color="auto" w:fill="FFF9C4"/>
            <w:tcMar>
              <w:top w:w="60" w:type="dxa"/>
              <w:bottom w:w="60" w:type="dxa"/>
              <w:left w:w="80" w:type="dxa"/>
              <w:right w:w="80" w:type="dxa"/>
            </w:tcMar>
          </w:tcPr>
          <w:p>
            <w:pPr>
              <w:jc w:val="center"/>
              <w:spacing w:before="0" w:after="0" w:line="240" w:lineRule="auto"/>
            </w:pPr>
            <w:r>
              <w:rPr>
                <w:b/>
                <w:sz w:val="17"/>
              </w:rPr>
              <w:t>Kendaraan</w:t>
            </w:r>
          </w:p>
        </w:tc>
        <w:tc>
          <w:tcPr>
            <w:tcW w:w="2000" w:type="dxa"/>
            <w:shd w:val="clear" w:color="auto" w:fill="FFF9C4"/>
            <w:tcMar>
              <w:top w:w="60" w:type="dxa"/>
              <w:bottom w:w="60" w:type="dxa"/>
              <w:left w:w="80" w:type="dxa"/>
              <w:right w:w="80" w:type="dxa"/>
            </w:tcMar>
          </w:tcPr>
          <w:p>
            <w:pPr>
              <w:jc w:val="center"/>
              <w:spacing w:before="0" w:after="0" w:line="240" w:lineRule="auto"/>
            </w:pPr>
            <w:r>
              <w:rPr>
                <w:b/>
                <w:sz w:val="17"/>
              </w:rPr>
              <w:t>Tanggal</w:t>
            </w:r>
          </w:p>
        </w:tc>
        <w:tc>
          <w:tcPr>
            <w:tcW w:w="2900" w:type="dxa"/>
            <w:shd w:val="clear" w:color="auto" w:fill="FFF9C4"/>
            <w:tcMar>
              <w:top w:w="60" w:type="dxa"/>
              <w:bottom w:w="60" w:type="dxa"/>
              <w:left w:w="80" w:type="dxa"/>
              <w:right w:w="80" w:type="dxa"/>
            </w:tcMar>
          </w:tcPr>
          <w:p>
            <w:pPr>
              <w:jc w:val="center"/>
              <w:spacing w:before="0" w:after="0" w:line="240" w:lineRule="auto"/>
            </w:pPr>
            <w:r>
              <w:rPr>
                <w:b/>
                <w:sz w:val="17"/>
              </w:rPr>
              <w:t>Tujuan</w:t>
            </w:r>
          </w:p>
        </w:tc>
        <w:tc>
          <w:tcPr>
            <w:tcW w:w="1400" w:type="dxa"/>
            <w:shd w:val="clear" w:color="auto" w:fill="FFF9C4"/>
            <w:tcMar>
              <w:top w:w="60" w:type="dxa"/>
              <w:bottom w:w="60" w:type="dxa"/>
              <w:left w:w="80" w:type="dxa"/>
              <w:right w:w="80" w:type="dxa"/>
            </w:tcMar>
          </w:tcPr>
          <w:p>
            <w:pPr>
              <w:jc w:val="center"/>
              <w:spacing w:before="0" w:after="0" w:line="240" w:lineRule="auto"/>
            </w:pPr>
            <w:r>
              <w:rPr>
                <w:b/>
                <w:sz w:val="17"/>
              </w:rPr>
              <w:t>Harga / Unit</w:t>
            </w:r>
          </w:p>
        </w:tc>
        <w:tc>
          <w:tcPr>
            <w:tcW w:w="500" w:type="dxa"/>
            <w:shd w:val="clear" w:color="auto" w:fill="FFF9C4"/>
            <w:tcMar>
              <w:top w:w="60" w:type="dxa"/>
              <w:bottom w:w="60" w:type="dxa"/>
              <w:left w:w="80" w:type="dxa"/>
              <w:right w:w="80" w:type="dxa"/>
            </w:tcMar>
          </w:tcPr>
          <w:p>
            <w:pPr>
              <w:jc w:val="center"/>
              <w:spacing w:before="0" w:after="0" w:line="240" w:lineRule="auto"/>
            </w:pPr>
            <w:r>
              <w:rPr>
                <w:b/>
                <w:sz w:val="17"/>
              </w:rPr>
              <w:t>Unit</w:t>
            </w:r>
          </w:p>
        </w:tc>
        <w:tc>
          <w:tcPr>
            <w:tcW w:w="1100" w:type="dxa"/>
            <w:shd w:val="clear" w:color="auto" w:fill="FFF9C4"/>
            <w:tcMar>
              <w:top w:w="60" w:type="dxa"/>
              <w:bottom w:w="60" w:type="dxa"/>
              <w:left w:w="80" w:type="dxa"/>
              <w:right w:w="80" w:type="dxa"/>
            </w:tcMar>
          </w:tcPr>
          <w:p>
            <w:pPr>
              <w:jc w:val="center"/>
              <w:spacing w:before="0" w:after="0" w:line="240" w:lineRule="auto"/>
            </w:pPr>
            <w:r>
              <w:rPr>
                <w:b/>
                <w:sz w:val="17"/>
              </w:rPr>
              <w:t>Total</w:t>
            </w:r>
          </w:p>
        </w:tc>
      </w:tr>
      <w:tr>
        <w:tc>
          <w:tcPr>
            <w:tcW w:w="2300" w:type="dxa"/>
            <w:tcMar>
              <w:top w:w="60" w:type="dxa"/>
              <w:bottom w:w="60" w:type="dxa"/>
              <w:left w:w="80" w:type="dxa"/>
              <w:right w:w="80" w:type="dxa"/>
            </w:tcMar>
          </w:tcPr>
          <w:p>
            <w:pPr>
              <w:jc w:val="center"/>
              <w:spacing w:before="0" w:after="0" w:line="240" w:lineRule="auto"/>
            </w:pPr>
            <w:r>
              <w:rPr>
                <w:b/>
                <w:sz w:val="17"/>
              </w:rPr>
              <w:t>Big Bus Mercedes-Benz SHD</w:t>
            </w:r>
          </w:p>
        </w:tc>
        <w:tc>
          <w:tcPr>
            <w:tcW w:w="2000" w:type="dxa"/>
            <w:tcMar>
              <w:top w:w="60" w:type="dxa"/>
              <w:bottom w:w="60" w:type="dxa"/>
              <w:left w:w="80" w:type="dxa"/>
              <w:right w:w="80" w:type="dxa"/>
            </w:tcMar>
          </w:tcPr>
          <w:p>
            <w:pPr>
              <w:jc w:val="center"/>
              <w:spacing w:before="0" w:after="0" w:line="240" w:lineRule="auto"/>
            </w:pPr>
            <w:r>
              <w:rPr>
                <w:b/>
                <w:sz w:val="17"/>
              </w:rPr>
              <w:t>11/09/2026 - 13/09/2026</w:t>
            </w:r>
          </w:p>
        </w:tc>
        <w:tc>
          <w:tcPr>
            <w:tcW w:w="2900" w:type="dxa"/>
            <w:tcMar>
              <w:top w:w="60" w:type="dxa"/>
              <w:bottom w:w="60" w:type="dxa"/>
              <w:left w:w="80" w:type="dxa"/>
              <w:right w:w="80" w:type="dxa"/>
            </w:tcMar>
          </w:tcPr>
          <w:p>
            <w:pPr>
              <w:jc w:val="center"/>
              <w:spacing w:before="0" w:after="0" w:line="240" w:lineRule="auto"/>
            </w:pPr>
            <w:r>
              <w:rPr>
                <w:b/>
                <w:sz w:val="17"/>
              </w:rPr>
              <w:t>Jakarta – Cirebon – Semarang (PP)</w:t>
            </w:r>
          </w:p>
        </w:tc>
        <w:tc>
          <w:tcPr>
            <w:tcW w:w="1400" w:type="dxa"/>
            <w:tcMar>
              <w:top w:w="60" w:type="dxa"/>
              <w:bottom w:w="60" w:type="dxa"/>
              <w:left w:w="80" w:type="dxa"/>
              <w:right w:w="80" w:type="dxa"/>
            </w:tcMar>
          </w:tcPr>
          <w:p>
            <w:pPr>
              <w:jc w:val="center"/>
              <w:spacing w:before="0" w:after="0" w:line="240" w:lineRule="auto"/>
            </w:pPr>
            <w:r>
              <w:rPr>
                <w:b/>
                <w:sz w:val="17"/>
              </w:rPr>
              <w:t>Rp3.877.551</w:t>
            </w:r>
          </w:p>
        </w:tc>
        <w:tc>
          <w:tcPr>
            <w:tcW w:w="500" w:type="dxa"/>
            <w:tcMar>
              <w:top w:w="60" w:type="dxa"/>
              <w:bottom w:w="60" w:type="dxa"/>
              <w:left w:w="80" w:type="dxa"/>
              <w:right w:w="80" w:type="dxa"/>
            </w:tcMar>
          </w:tcPr>
          <w:p>
            <w:pPr>
              <w:jc w:val="center"/>
              <w:spacing w:before="0" w:after="0" w:line="240" w:lineRule="auto"/>
            </w:pPr>
            <w:r>
              <w:rPr>
                <w:b/>
                <w:sz w:val="17"/>
              </w:rPr>
              <w:t>1</w:t>
            </w:r>
          </w:p>
        </w:tc>
        <w:tc>
          <w:tcPr>
            <w:tcW w:w="1100" w:type="dxa"/>
            <w:tcMar>
              <w:top w:w="60" w:type="dxa"/>
              <w:bottom w:w="60" w:type="dxa"/>
              <w:left w:w="80" w:type="dxa"/>
              <w:right w:w="80" w:type="dxa"/>
            </w:tcMar>
          </w:tcPr>
          <w:p>
            <w:pPr>
              <w:jc w:val="center"/>
              <w:spacing w:before="0" w:after="0" w:line="240" w:lineRule="auto"/>
            </w:pPr>
            <w:r>
              <w:rPr>
                <w:b/>
                <w:sz w:val="17"/>
              </w:rPr>
              <w:t>Rp3.877.551</w:t>
            </w:r>
          </w:p>
        </w:tc>
      </w:tr>
      <w:tr>
        <w:tc>
          <w:tcPr>
            <w:tcW w:w="2300" w:type="dxa"/>
            <w:tcMar>
              <w:top w:w="60" w:type="dxa"/>
              <w:bottom w:w="60" w:type="dxa"/>
              <w:left w:w="80" w:type="dxa"/>
              <w:right w:w="80" w:type="dxa"/>
            </w:tcMar>
          </w:tcPr>
          <w:p>
            <w:pPr>
              <w:jc w:val="center"/>
              <w:spacing w:before="0" w:after="0" w:line="240" w:lineRule="auto"/>
            </w:pPr>
            <w:r>
              <w:rPr>
                <w:b/>
                <w:sz w:val="17"/>
              </w:rPr>
              <w:t>DP</w:t>
            </w:r>
          </w:p>
        </w:tc>
        <w:tc>
          <w:tcPr>
            <w:tcW w:w="2000" w:type="dxa"/>
            <w:tcMar>
              <w:top w:w="60" w:type="dxa"/>
              <w:bottom w:w="60" w:type="dxa"/>
              <w:left w:w="80" w:type="dxa"/>
              <w:right w:w="80" w:type="dxa"/>
            </w:tcMar>
          </w:tcPr>
          <w:p>
            <w:pPr>
              <w:jc w:val="center"/>
              <w:spacing w:before="0" w:after="0" w:line="240" w:lineRule="auto"/>
            </w:pPr>
            <w:r>
              <w:rPr>
                <w:b/>
                <w:sz w:val="17"/>
              </w:rPr>
              <w:t>Rp.5.500.000</w:t>
            </w:r>
          </w:p>
        </w:tc>
        <w:tc>
          <w:tcPr>
            <w:tcW w:w="2900" w:type="dxa"/>
            <w:tcMar>
              <w:top w:w="60" w:type="dxa"/>
              <w:bottom w:w="60" w:type="dxa"/>
              <w:left w:w="80" w:type="dxa"/>
              <w:right w:w="80" w:type="dxa"/>
            </w:tcMar>
          </w:tcPr>
          <w:p>
            <w:pPr>
              <w:jc w:val="center"/>
              <w:spacing w:before="0" w:after="0" w:line="240" w:lineRule="auto"/>
            </w:pPr>
            <w:r>
              <w:rPr>
                <w:sz w:val="17"/>
              </w:rPr>
              <w:t/>
            </w:r>
          </w:p>
        </w:tc>
        <w:tc>
          <w:tcPr>
            <w:tcW w:w="3000" w:type="dxa"/>
            <w:gridSpan w:val="3"/>
            <w:tcMar>
              <w:top w:w="60" w:type="dxa"/>
              <w:bottom w:w="60" w:type="dxa"/>
              <w:left w:w="80" w:type="dxa"/>
              <w:right w:w="80" w:type="dxa"/>
            </w:tcMar>
          </w:tcPr>
          <w:p>
            <w:pPr>
              <w:jc w:val="center"/>
              <w:spacing w:before="0" w:after="0" w:line="240" w:lineRule="auto"/>
            </w:pPr>
            <w:r>
              <w:rPr>
                <w:b/>
                <w:sz w:val="17"/>
              </w:rPr>
              <w:t>Mandiri 07/09/2026</w:t>
            </w:r>
          </w:p>
        </w:tc>
      </w:tr>
      <w:tr>
        <w:tc>
          <w:tcPr>
            <w:tcW w:w="10200" w:type="dxa"/>
            <w:gridSpan w:val="6"/>
            <w:tcMar>
              <w:top w:w="60" w:type="dxa"/>
              <w:bottom w:w="60" w:type="dxa"/>
              <w:left w:w="80" w:type="dxa"/>
              <w:right w:w="80" w:type="dxa"/>
            </w:tcMar>
          </w:tcPr>
          <w:p>
            <w:pPr>
              <w:jc w:val="center"/>
              <w:spacing w:before="0" w:after="0" w:line="240" w:lineRule="auto"/>
            </w:pPr>
            <w:r>
              <w:rPr>
                <w:b/>
                <w:sz w:val="17"/>
              </w:rPr>
              <w:t>Catatan : Drop off Gedung GraPARI Semarang. Tol &amp;amp; BBM ditanggung PO.</w:t>
            </w:r>
          </w:p>
        </w:tc>
      </w:tr>
      <w:tr>
        <w:tc>
          <w:tcPr>
            <w:tcW w:w="9100" w:type="dxa"/>
            <w:gridSpan w:val="5"/>
            <w:tcMar>
              <w:top w:w="60" w:type="dxa"/>
              <w:bottom w:w="60" w:type="dxa"/>
              <w:left w:w="80" w:type="dxa"/>
              <w:right w:w="80" w:type="dxa"/>
            </w:tcMar>
          </w:tcPr>
          <w:p>
            <w:pPr>
              <w:jc w:val="right"/>
              <w:spacing w:before="0" w:after="0" w:line="240" w:lineRule="auto"/>
            </w:pPr>
            <w:r>
              <w:rPr>
                <w:b/>
                <w:sz w:val="17"/>
              </w:rPr>
              <w:t>TOTAL GROSS-UP</w:t>
            </w:r>
          </w:p>
        </w:tc>
        <w:tc>
          <w:tcPr>
            <w:tcW w:w="1100" w:type="dxa"/>
            <w:tcMar>
              <w:top w:w="60" w:type="dxa"/>
              <w:bottom w:w="60" w:type="dxa"/>
              <w:left w:w="80" w:type="dxa"/>
              <w:right w:w="80" w:type="dxa"/>
            </w:tcMar>
          </w:tcPr>
          <w:p>
            <w:pPr>
              <w:jc w:val="right"/>
              <w:spacing w:before="0" w:after="0" w:line="240" w:lineRule="auto"/>
            </w:pPr>
            <w:r>
              <w:rPr>
                <w:b/>
                <w:sz w:val="17"/>
              </w:rPr>
              <w:t>Rp3.877.551</w:t>
            </w:r>
          </w:p>
        </w:tc>
      </w:tr>
      <w:tr>
        <w:tc>
          <w:tcPr>
            <w:tcW w:w="9100" w:type="dxa"/>
            <w:gridSpan w:val="5"/>
            <w:tcMar>
              <w:top w:w="60" w:type="dxa"/>
              <w:bottom w:w="60" w:type="dxa"/>
              <w:left w:w="80" w:type="dxa"/>
              <w:right w:w="80" w:type="dxa"/>
            </w:tcMar>
          </w:tcPr>
          <w:p>
            <w:pPr>
              <w:jc w:val="right"/>
              <w:spacing w:before="0" w:after="0" w:line="240" w:lineRule="auto"/>
            </w:pPr>
            <w:r>
              <w:rPr>
                <w:b/>
                <w:sz w:val="17"/>
              </w:rPr>
              <w:t>PPh 23 (2%) Dipotong Customer</w:t>
            </w:r>
          </w:p>
        </w:tc>
        <w:tc>
          <w:tcPr>
            <w:tcW w:w="1100" w:type="dxa"/>
            <w:tcMar>
              <w:top w:w="60" w:type="dxa"/>
              <w:bottom w:w="60" w:type="dxa"/>
              <w:left w:w="80" w:type="dxa"/>
              <w:right w:w="80" w:type="dxa"/>
            </w:tcMar>
          </w:tcPr>
          <w:p>
            <w:pPr>
              <w:jc w:val="right"/>
              <w:spacing w:before="0" w:after="0" w:line="240" w:lineRule="auto"/>
            </w:pPr>
            <w:r>
              <w:rPr>
                <w:b/>
                <w:sz w:val="17"/>
              </w:rPr>
              <w:t>(Rp77.551)</w:t>
            </w:r>
          </w:p>
        </w:tc>
      </w:tr>
      <w:tr>
        <w:tc>
          <w:tcPr>
            <w:tcW w:w="9100" w:type="dxa"/>
            <w:gridSpan w:val="5"/>
            <w:tcMar>
              <w:top w:w="60" w:type="dxa"/>
              <w:bottom w:w="60" w:type="dxa"/>
              <w:left w:w="80" w:type="dxa"/>
              <w:right w:w="80" w:type="dxa"/>
            </w:tcMar>
          </w:tcPr>
          <w:p>
            <w:pPr>
              <w:jc w:val="right"/>
              <w:spacing w:before="0" w:after="0" w:line="240" w:lineRule="auto"/>
            </w:pPr>
            <w:r>
              <w:rPr>
                <w:b/>
                <w:sz w:val="17"/>
              </w:rPr>
              <w:t>NILAI NETT SEBELUM DISKON</w:t>
            </w:r>
          </w:p>
        </w:tc>
        <w:tc>
          <w:tcPr>
            <w:tcW w:w="1100" w:type="dxa"/>
            <w:tcMar>
              <w:top w:w="60" w:type="dxa"/>
              <w:bottom w:w="60" w:type="dxa"/>
              <w:left w:w="80" w:type="dxa"/>
              <w:right w:w="80" w:type="dxa"/>
            </w:tcMar>
          </w:tcPr>
          <w:p>
            <w:pPr>
              <w:jc w:val="right"/>
              <w:spacing w:before="0" w:after="0" w:line="240" w:lineRule="auto"/>
            </w:pPr>
            <w:r>
              <w:rPr>
                <w:b/>
                <w:sz w:val="17"/>
              </w:rPr>
              <w:t>Rp3.800.000</w:t>
            </w:r>
          </w:p>
        </w:tc>
      </w:tr>
      <w:tr>
        <w:tc>
          <w:tcPr>
            <w:tcW w:w="9100" w:type="dxa"/>
            <w:gridSpan w:val="5"/>
            <w:tcMar>
              <w:top w:w="60" w:type="dxa"/>
              <w:bottom w:w="60" w:type="dxa"/>
              <w:left w:w="80" w:type="dxa"/>
              <w:right w:w="80" w:type="dxa"/>
            </w:tcMar>
          </w:tcPr>
          <w:p>
            <w:pPr>
              <w:jc w:val="right"/>
              <w:spacing w:before="0" w:after="0" w:line="240" w:lineRule="auto"/>
            </w:pPr>
            <w:r>
              <w:rPr>
                <w:b/>
                <w:sz w:val="17"/>
              </w:rPr>
              <w:t>DISKON NETT</w:t>
            </w:r>
          </w:p>
        </w:tc>
        <w:tc>
          <w:tcPr>
            <w:tcW w:w="1100" w:type="dxa"/>
            <w:tcMar>
              <w:top w:w="60" w:type="dxa"/>
              <w:bottom w:w="60" w:type="dxa"/>
              <w:left w:w="80" w:type="dxa"/>
              <w:right w:w="80" w:type="dxa"/>
            </w:tcMar>
          </w:tcPr>
          <w:p>
            <w:pPr>
              <w:jc w:val="right"/>
              <w:spacing w:before="0" w:after="0" w:line="240" w:lineRule="auto"/>
            </w:pPr>
            <w:r>
              <w:rPr>
                <w:b/>
                <w:sz w:val="17"/>
              </w:rPr>
              <w:t>(Rp400.000)</w:t>
            </w:r>
          </w:p>
        </w:tc>
      </w:tr>
      <w:tr>
        <w:tc>
          <w:tcPr>
            <w:tcW w:w="9100" w:type="dxa"/>
            <w:gridSpan w:val="5"/>
            <w:shd w:val="clear" w:color="auto" w:fill="FEF08A"/>
            <w:tcMar>
              <w:top w:w="60" w:type="dxa"/>
              <w:bottom w:w="60" w:type="dxa"/>
              <w:left w:w="80" w:type="dxa"/>
              <w:right w:w="80" w:type="dxa"/>
            </w:tcMar>
          </w:tcPr>
          <w:p>
            <w:pPr>
              <w:jc w:val="right"/>
              <w:spacing w:before="0" w:after="0" w:line="240" w:lineRule="auto"/>
            </w:pPr>
            <w:r>
              <w:rPr>
                <w:b/>
                <w:sz w:val="17"/>
              </w:rPr>
              <w:t>SISA TOTAL HARGA PELUNASAN NETT</w:t>
            </w:r>
          </w:p>
        </w:tc>
        <w:tc>
          <w:tcPr>
            <w:tcW w:w="1100" w:type="dxa"/>
            <w:shd w:val="clear" w:color="auto" w:fill="FEF08A"/>
            <w:tcMar>
              <w:top w:w="60" w:type="dxa"/>
              <w:bottom w:w="60" w:type="dxa"/>
              <w:left w:w="80" w:type="dxa"/>
              <w:right w:w="80" w:type="dxa"/>
            </w:tcMar>
          </w:tcPr>
          <w:p>
            <w:pPr>
              <w:jc w:val="right"/>
              <w:spacing w:before="0" w:after="0" w:line="240" w:lineRule="auto"/>
            </w:pPr>
            <w:r>
              <w:rPr>
                <w:b/>
                <w:sz w:val="17"/>
              </w:rPr>
              <w:t>Rp0</w:t>
            </w:r>
          </w:p>
        </w:tc>
      </w:tr>
    </w:tbl>
    <w:p>
      <w:pPr>
        <w:spacing w:before="120" w:after="40"/>
      </w:pPr>
      <w:r>
        <w:rPr>
          <w:b/>
          <w:sz w:val="15"/>
        </w:rPr>
        <w:t>Syarat dan kondisi :</w:t>
      </w:r>
    </w:p>
    <w:p>
      <w:pPr>
        <w:spacing w:before="0" w:after="20" w:line="220" w:lineRule="auto"/>
        <w:ind w:left="240" w:hanging="240"/>
      </w:pPr>
      <w:r>
        <w:rPr>
          <w:sz w:val="13"/>
        </w:rPr>
        <w:t>1. Fasilitas kendaraan meliputi GPS, AC, TV, VCD/DVD, karaoke, charger, dan reclining seats, serta menyesuaikan jenis dan ketersediaan unit.</w:t>
      </w:r>
    </w:p>
    <w:p>
      <w:pPr>
        <w:spacing w:before="0" w:after="20" w:line="220" w:lineRule="auto"/>
        <w:ind w:left="240" w:hanging="240"/>
      </w:pPr>
      <w:r>
        <w:rPr>
          <w:sz w:val="13"/>
        </w:rPr>
        <w:t>2. Harga sudah termasuk sewa kendaraan, BBM, dan crew.</w:t>
      </w:r>
    </w:p>
    <w:p>
      <w:pPr>
        <w:spacing w:before="0" w:after="20" w:line="220" w:lineRule="auto"/>
        <w:ind w:left="240" w:hanging="240"/>
      </w:pPr>
      <w:r>
        <w:rPr>
          <w:sz w:val="13"/>
        </w:rPr>
        <w:t>3. Harga belum termasuk tiket wisata, biaya parkir, tol, makan crew dan uang tip crew.</w:t>
      </w:r>
    </w:p>
    <w:p>
      <w:pPr>
        <w:spacing w:before="0" w:after="20" w:line="220" w:lineRule="auto"/>
        <w:ind w:left="240" w:hanging="240"/>
      </w:pPr>
      <w:r>
        <w:rPr>
          <w:sz w:val="13"/>
        </w:rPr>
        <w:t>4. Pemesanan dinyatakan sah setelah uang muka (DP) sebesar 50% diterima di rekening resmi PT. Royal Trans International dan disertai bukti transfer. Pelunasan dilakukan maksimal 7 hari sebelum keberangkatan.</w:t>
      </w:r>
    </w:p>
    <w:p>
      <w:pPr>
        <w:spacing w:before="0" w:after="20" w:line="220" w:lineRule="auto"/>
        <w:ind w:left="240" w:hanging="240"/>
      </w:pPr>
      <w:r>
        <w:rPr>
          <w:sz w:val="13"/>
        </w:rPr>
        <w:t>5. Harga yang tercantum dalam invoice adalah harga nett yang diterima oleh PT. Royal Trans International. Apabila terdapat pemotongan PPh 23 oleh pelanggan, nilai invoice harus disesuaikan (gross up) sehingga jumlah yang diterima tetap sesuai dengan nominal invoice. Bukti potong wajib dikirim ke tax@royal-trans.co.id.</w:t>
      </w:r>
    </w:p>
    <w:p>
      <w:pPr>
        <w:spacing w:before="0" w:after="20" w:line="220" w:lineRule="auto"/>
        <w:ind w:left="240" w:hanging="240"/>
      </w:pPr>
      <w:r>
        <w:rPr>
          <w:sz w:val="13"/>
        </w:rPr>
        <w:t>6. Pembatalan sepihak dari konsumen mengakibatkan uang yang sudah masuk tidak dapat dikembalikan dengan ketentuan: pembatalan H-14 dikenakan potongan sebesar 50%, pembatalan H-4 dikenakan potongan 100%, dan pembatalan H-1 dikenakan penalti 100% pembayaran penuh dari total harga sewa.</w:t>
      </w:r>
    </w:p>
    <w:p>
      <w:pPr>
        <w:spacing w:before="0" w:after="20" w:line="220" w:lineRule="auto"/>
        <w:ind w:left="240" w:hanging="240"/>
      </w:pPr>
      <w:r>
        <w:rPr>
          <w:sz w:val="13"/>
        </w:rPr>
        <w:t>7. PT. Royal Trans International berhak mengganti unit dengan spesifikasi setara atau menyesuaikan jadwal keberangkatan apabila terjadi kendala operasional atau force majeure, seperti kerusakan, kecelakaan, kebakaran, huru-hara, banjir, bencana alam, dan kondisi lain di luar kendali perusahaan.</w:t>
      </w:r>
    </w:p>
    <w:p>
      <w:pPr>
        <w:spacing w:before="0" w:after="20" w:line="220" w:lineRule="auto"/>
        <w:ind w:left="240" w:hanging="240"/>
      </w:pPr>
      <w:r>
        <w:rPr>
          <w:sz w:val="13"/>
        </w:rPr>
        <w:t>8. Harga dapat berubah apabila terjadi kenaikan harga BBM, perubahan rute, perubahan jadwal, tambahan hari pemakaian, atau biaya tambahan lain di luar invoice.</w:t>
      </w:r>
    </w:p>
    <w:p>
      <w:pPr>
        <w:spacing w:before="0" w:after="20" w:line="220" w:lineRule="auto"/>
        <w:ind w:left="240" w:hanging="240"/>
      </w:pPr>
      <w:r>
        <w:rPr>
          <w:sz w:val="13"/>
        </w:rPr>
        <w:t>9. Batas waktu pemakaian kendaraan: Menginap sampai pukul 00.00 WIB. Tidak menginap (luar kota) sampai pukul 23.00 WIB. Tidak menginap (JABODETABEK) sampai pukul 21.00 WIB. Kelebihan waktu (overtime) dikenakan biaya per unit: Luxury Micro Bus Rp500.000/jam; Luxury Bus Rp1.000.000/jam; Big Bus Rp450.000/jam; Medium Bus Rp300.000/jam; Hiace/Elf Rp200.000/jam. Overtime maksimal adalah 3 jam. Lebih dari 3 jam akan dikenakan tambahan tarif 1 hari pemakaian.</w:t>
      </w:r>
    </w:p>
    <w:p>
      <w:pPr>
        <w:spacing w:before="0" w:after="20" w:line="220" w:lineRule="auto"/>
        <w:ind w:left="240" w:hanging="240"/>
      </w:pPr>
      <w:r>
        <w:rPr>
          <w:sz w:val="13"/>
        </w:rPr>
        <w:t>10. Pemakaian di luar tujuan, rute, atau itinerary yang disepakati akan dikenakan biaya tambahan sesuai dengan jarak dan kebutuhan operasional.</w:t>
      </w:r>
    </w:p>
    <w:p>
      <w:pPr>
        <w:spacing w:before="0" w:after="20" w:line="220" w:lineRule="auto"/>
        <w:ind w:left="240" w:hanging="240"/>
      </w:pPr>
      <w:r>
        <w:rPr>
          <w:sz w:val="13"/>
        </w:rPr>
        <w:t>11. Crew Berhak menolak perubahan rute apabila tidak sesuai dengan perjanjian, membahayakan, atau tidak memungkinkan secara operasional.</w:t>
      </w:r>
    </w:p>
    <w:tbl>
      <w:tblPr>
        <w:tblW w:w="10200" w:type="dxa"/>
        <w:tblBorders>
          <w:top w:val="none"/>
          <w:left w:val="none"/>
          <w:bottom w:val="none"/>
          <w:right w:val="none"/>
          <w:insideH w:val="none"/>
          <w:insideV w:val="none"/>
        </w:tblBorders>
      </w:tblPr>
      <w:tr>
        <w:tc>
          <w:tcPr>
            <w:tcW w:w="6000" w:type="dxa"/>
          </w:tcPr>
          <w:p>
            <w:pPr>
              <w:spacing w:before="100" w:after="30"/>
            </w:pPr>
            <w:r>
              <w:rPr>
                <w:b/>
                <w:sz w:val="15"/>
              </w:rPr>
              <w:t>Pembayaran dapat ditransfer melalui Rekening Perusahaan:</w:t>
            </w:r>
          </w:p>
          <w:p>
            <w:pPr>
              <w:spacing w:after="20"/>
            </w:pPr>
            <w:r>
              <w:rPr>
                <w:b/>
                <w:sz w:val="15"/>
              </w:rPr>
              <w:t>• BANK BCA - 1661798331 a/n PT. ROYAL TRANS INDONESIA</w:t>
            </w:r>
          </w:p>
          <w:p>
            <w:pPr>
              <w:spacing w:after="20"/>
            </w:pPr>
            <w:r>
              <w:rPr>
                <w:b/>
                <w:sz w:val="15"/>
              </w:rPr>
              <w:t>• BANK BNI - 8779886888 a/n PT. ROYAL TRANS INDONESIA</w:t>
            </w:r>
          </w:p>
          <w:p>
            <w:pPr>
              <w:spacing w:after="20"/>
            </w:pPr>
            <w:r>
              <w:rPr>
                <w:b/>
                <w:sz w:val="15"/>
              </w:rPr>
              <w:t>• BANK MANDIRI - 1640011771187 a/n PT. ROYAL TRANS INDONESIA</w:t>
            </w:r>
          </w:p>
          <w:p>
            <w:pPr>
              <w:spacing w:after="20"/>
            </w:pPr>
            <w:r>
              <w:rPr>
                <w:b/>
                <w:sz w:val="15"/>
              </w:rPr>
              <w:t>• BANK BRI - 039601000645306 a/n PT. ROYAL TRANS INDONESIA</w:t>
            </w:r>
          </w:p>
        </w:tc>
        <w:tc>
          <w:tcPr>
            <w:tcW w:w="4200" w:type="dxa"/>
          </w:tcPr>
          <w:p>
            <w:pPr>
              <w:jc w:val="center"/>
              <w:spacing w:before="100" w:after="20"/>
            </w:pPr>
            <w:r>
              <w:rPr>
                <w:b/>
                <w:sz w:val="16"/>
              </w:rPr>
              <w:t>Hormat Kami</w:t>
            </w:r>
          </w:p>
          <w:p>
            <w:pPr>
              <w:jc w:val="center"/>
              <w:spacing w:after="600"/>
            </w:pPr>
            <w:r>
              <w:rPr>
                <w:b/>
                <w:sz w:val="16"/>
              </w:rPr>
              <w:t>PT. ROYAL TRANS INDONESIA</w:t>
            </w:r>
          </w:p>
          <w:p>
            <w:pPr>
              <w:jc w:val="center"/>
              <w:spacing w:after="20"/>
            </w:pPr>
            <w:r>
              <w:rPr>
                <w:b/>
                <w:u w:val="single"/>
                <w:sz w:val="16"/>
              </w:rPr>
              <w:t>Septiani</w:t>
            </w:r>
          </w:p>
          <w:p>
            <w:pPr>
              <w:jc w:val="center"/>
              <w:spacing w:after="20"/>
            </w:pPr>
            <w:r>
              <w:rPr>
                <w:b/>
                <w:sz w:val="16"/>
              </w:rPr>
              <w:t>Finance</w:t>
            </w:r>
          </w:p>
        </w:tc>
      </w:tr>
    </w:tbl>
    <w:sectPr>
      <w:pgSz w:w="11906" w:h="16838"/>
      <w:pgMar w:top="850" w:right="850" w:bottom="850" w:left="850" w:header="720" w:footer="720" w:gutter="0"/>
    </w:sectPr>
  </w:body>
</w:document>
</file>

<file path=word/styles.xml><?xml version="1.0" encoding="utf-8"?>
<w:styles xmlns:w="http://schemas.openxmlformats.org/wordprocessingml/2006/main">
  <w:docDefaults>
    <w:rPrDefault>
      <w:rPr>
        <w:rFonts w:ascii="Arial" w:hAnsi="Arial" w:cs="Arial"/>
        <w:sz w:val="18"/>
        <w:szCs w:val="18"/>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